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64B52" w14:textId="77777777" w:rsidR="00B21B38" w:rsidRPr="00F673DE" w:rsidRDefault="00B21B38" w:rsidP="00D2430D">
      <w:pPr>
        <w:ind w:right="4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</w:p>
    <w:p w14:paraId="6867EB35" w14:textId="1C9380C1" w:rsidR="0002351B" w:rsidRPr="00F673DE" w:rsidRDefault="00B21B38" w:rsidP="00D2430D">
      <w:pPr>
        <w:ind w:right="4"/>
        <w:textAlignment w:val="baseline"/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CERTIFICADA CON ACUSE DE RECIBO</w:t>
      </w:r>
    </w:p>
    <w:p w14:paraId="0AAD353B" w14:textId="0DCA23CC" w:rsidR="00F32DC9" w:rsidRPr="00F673DE" w:rsidRDefault="00F673DE" w:rsidP="00D2430D">
      <w:pPr>
        <w:ind w:right="4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17 de abril de 2020</w:t>
      </w:r>
    </w:p>
    <w:p w14:paraId="758DB102" w14:textId="77777777" w:rsidR="008838FC" w:rsidRPr="00F673DE" w:rsidRDefault="008838FC" w:rsidP="00D24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  <w:lang w:val="es-ES"/>
        </w:rPr>
      </w:pPr>
    </w:p>
    <w:p w14:paraId="4BC3C897" w14:textId="7C49A46D" w:rsidR="00B21B38" w:rsidRPr="00686C99" w:rsidRDefault="00F673DE" w:rsidP="00D24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4"/>
          <w:szCs w:val="24"/>
          <w:lang w:val="es-ES"/>
        </w:rPr>
      </w:pPr>
      <w:r w:rsidRPr="00686C99">
        <w:rPr>
          <w:rFonts w:ascii="Georgia" w:hAnsi="Georgia" w:cs="Georgia"/>
          <w:b/>
          <w:bCs/>
          <w:color w:val="000000"/>
          <w:sz w:val="24"/>
          <w:szCs w:val="24"/>
          <w:lang w:val="es-ES"/>
        </w:rPr>
        <w:t xml:space="preserve">&lt;&lt;Nombre del Acreedor/Banco/Institución Financiera&gt;&gt; </w:t>
      </w:r>
      <w:r w:rsidR="00B21B38" w:rsidRPr="00686C99">
        <w:rPr>
          <w:rFonts w:ascii="Georgia" w:hAnsi="Georgia" w:cs="Georgia"/>
          <w:b/>
          <w:bCs/>
          <w:color w:val="000000"/>
          <w:sz w:val="24"/>
          <w:szCs w:val="24"/>
          <w:lang w:val="es-ES"/>
        </w:rPr>
        <w:br/>
      </w:r>
      <w:r w:rsidRPr="00686C99">
        <w:rPr>
          <w:rFonts w:ascii="Georgia" w:hAnsi="Georgia" w:cs="Georgia"/>
          <w:b/>
          <w:bCs/>
          <w:color w:val="000000"/>
          <w:sz w:val="24"/>
          <w:szCs w:val="24"/>
          <w:lang w:val="es-ES"/>
        </w:rPr>
        <w:t>&lt;&lt;Dirección postal del Acreedor/Banco/Institución Financiera&gt;&gt;</w:t>
      </w:r>
    </w:p>
    <w:p w14:paraId="58A4C7FF" w14:textId="77777777" w:rsidR="00A25E7D" w:rsidRPr="00F673DE" w:rsidRDefault="00A25E7D" w:rsidP="00D243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eorgia" w:hAnsi="Georgia" w:cs="Georgia"/>
          <w:color w:val="000000"/>
          <w:sz w:val="24"/>
          <w:szCs w:val="24"/>
          <w:lang w:val="es-ES"/>
        </w:rPr>
      </w:pPr>
    </w:p>
    <w:p w14:paraId="209740FC" w14:textId="70C373AE" w:rsidR="00B21B38" w:rsidRDefault="00B33435" w:rsidP="00D2430D">
      <w:pPr>
        <w:textAlignment w:val="baseline"/>
        <w:rPr>
          <w:rFonts w:ascii="Georgia" w:eastAsia="Arial" w:hAnsi="Georgia"/>
          <w:iCs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iCs/>
          <w:color w:val="000000"/>
          <w:sz w:val="24"/>
          <w:szCs w:val="24"/>
          <w:lang w:val="es-ES"/>
        </w:rPr>
        <w:t xml:space="preserve">Re: </w:t>
      </w:r>
      <w:r w:rsidR="00B21B38" w:rsidRPr="00F673DE">
        <w:rPr>
          <w:rFonts w:ascii="Georgia" w:eastAsia="Arial" w:hAnsi="Georgia"/>
          <w:iCs/>
          <w:color w:val="000000"/>
          <w:sz w:val="24"/>
          <w:szCs w:val="24"/>
          <w:lang w:val="es-ES"/>
        </w:rPr>
        <w:t>Pr</w:t>
      </w:r>
      <w:r w:rsidR="00275FBB" w:rsidRPr="00F673DE">
        <w:rPr>
          <w:rFonts w:ascii="Georgia" w:eastAsia="Arial" w:hAnsi="Georgia"/>
          <w:iCs/>
          <w:color w:val="000000"/>
          <w:sz w:val="24"/>
          <w:szCs w:val="24"/>
          <w:lang w:val="es-ES"/>
        </w:rPr>
        <w:t>é</w:t>
      </w:r>
      <w:r w:rsidR="00B21B38" w:rsidRPr="00F673DE">
        <w:rPr>
          <w:rFonts w:ascii="Georgia" w:eastAsia="Arial" w:hAnsi="Georgia"/>
          <w:iCs/>
          <w:color w:val="000000"/>
          <w:sz w:val="24"/>
          <w:szCs w:val="24"/>
          <w:lang w:val="es-ES"/>
        </w:rPr>
        <w:t>stamo #</w:t>
      </w:r>
      <w:r w:rsidR="00F673DE">
        <w:rPr>
          <w:rFonts w:ascii="Georgia" w:eastAsia="Arial" w:hAnsi="Georgia"/>
          <w:iCs/>
          <w:color w:val="000000"/>
          <w:sz w:val="24"/>
          <w:szCs w:val="24"/>
          <w:lang w:val="es-ES"/>
        </w:rPr>
        <w:t xml:space="preserve"> </w:t>
      </w:r>
      <w:r w:rsidR="00F673DE" w:rsidRPr="00686C99">
        <w:rPr>
          <w:rFonts w:ascii="Georgia" w:eastAsia="Arial" w:hAnsi="Georgia"/>
          <w:b/>
          <w:bCs/>
          <w:iCs/>
          <w:color w:val="000000"/>
          <w:sz w:val="24"/>
          <w:szCs w:val="24"/>
          <w:lang w:val="es-ES"/>
        </w:rPr>
        <w:t>&lt;&lt;N</w:t>
      </w:r>
      <w:r w:rsidR="00686C99">
        <w:rPr>
          <w:rFonts w:ascii="Georgia" w:eastAsia="Arial" w:hAnsi="Georgia"/>
          <w:b/>
          <w:bCs/>
          <w:iCs/>
          <w:color w:val="000000"/>
          <w:sz w:val="24"/>
          <w:szCs w:val="24"/>
          <w:lang w:val="es-ES"/>
        </w:rPr>
        <w:t>ú</w:t>
      </w:r>
      <w:r w:rsidR="00F673DE" w:rsidRPr="00686C99">
        <w:rPr>
          <w:rFonts w:ascii="Georgia" w:eastAsia="Arial" w:hAnsi="Georgia"/>
          <w:b/>
          <w:bCs/>
          <w:iCs/>
          <w:color w:val="000000"/>
          <w:sz w:val="24"/>
          <w:szCs w:val="24"/>
          <w:lang w:val="es-ES"/>
        </w:rPr>
        <w:t>mero de Préstamo&gt;&gt;</w:t>
      </w:r>
    </w:p>
    <w:p w14:paraId="1DAE8C09" w14:textId="77777777" w:rsidR="00F673DE" w:rsidRPr="00F673DE" w:rsidRDefault="00F673DE" w:rsidP="00D2430D">
      <w:pPr>
        <w:textAlignment w:val="baseline"/>
        <w:rPr>
          <w:rFonts w:ascii="Georgia" w:eastAsia="Arial" w:hAnsi="Georgia"/>
          <w:iCs/>
          <w:color w:val="000000"/>
          <w:sz w:val="24"/>
          <w:szCs w:val="24"/>
          <w:u w:val="single"/>
          <w:lang w:val="es-ES"/>
        </w:rPr>
      </w:pPr>
    </w:p>
    <w:p w14:paraId="64617B08" w14:textId="27CEE286" w:rsidR="00332BB0" w:rsidRPr="00F673DE" w:rsidRDefault="00B21B38" w:rsidP="005E71C8">
      <w:pPr>
        <w:spacing w:before="240" w:after="240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A quien pueda interesar</w:t>
      </w:r>
    </w:p>
    <w:p w14:paraId="352DFFC0" w14:textId="441C67D8" w:rsidR="00A25E7D" w:rsidRPr="00F673DE" w:rsidRDefault="00A25E7D" w:rsidP="00B14828">
      <w:pPr>
        <w:spacing w:before="120" w:after="120" w:line="360" w:lineRule="auto"/>
        <w:ind w:firstLine="7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Sirva la presente para notificarle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que debido a la implementación de la Orden Ejecutiva OE-2020-020 decretada por la Gobernadora de Puerto Rico el 12 de marzo de 2020, </w:t>
      </w:r>
      <w:r w:rsidR="00686C99" w:rsidRPr="00686C9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 xml:space="preserve">&lt;&lt;explique </w:t>
      </w:r>
      <w:r w:rsidR="00686C9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brevemente como le ha afectado</w:t>
      </w:r>
      <w:r w:rsidR="00686C99" w:rsidRPr="00686C9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, p.e. “</w:t>
      </w:r>
      <w:r w:rsidR="00686C99">
        <w:rPr>
          <w:rFonts w:ascii="Georgia" w:eastAsia="Arial" w:hAnsi="Georgia"/>
          <w:b/>
          <w:bCs/>
          <w:i/>
          <w:iCs/>
          <w:color w:val="000000"/>
          <w:sz w:val="24"/>
          <w:szCs w:val="24"/>
          <w:lang w:val="es-ES"/>
        </w:rPr>
        <w:t>he sido</w:t>
      </w:r>
      <w:r w:rsidR="00686C99" w:rsidRPr="00686C99">
        <w:rPr>
          <w:rFonts w:ascii="Georgia" w:eastAsia="Arial" w:hAnsi="Georgia"/>
          <w:b/>
          <w:bCs/>
          <w:i/>
          <w:iCs/>
          <w:color w:val="000000"/>
          <w:sz w:val="24"/>
          <w:szCs w:val="24"/>
          <w:lang w:val="es-ES"/>
        </w:rPr>
        <w:t xml:space="preserve"> cesanteado en mi trabajo”</w:t>
      </w:r>
      <w:r w:rsidR="00686C99" w:rsidRPr="00686C9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 xml:space="preserve"> o “</w:t>
      </w:r>
      <w:r w:rsidR="00686C99">
        <w:rPr>
          <w:rFonts w:ascii="Georgia" w:eastAsia="Arial" w:hAnsi="Georgia"/>
          <w:b/>
          <w:bCs/>
          <w:i/>
          <w:iCs/>
          <w:color w:val="000000"/>
          <w:sz w:val="24"/>
          <w:szCs w:val="24"/>
          <w:lang w:val="es-ES"/>
        </w:rPr>
        <w:t>no he podido</w:t>
      </w:r>
      <w:r w:rsidR="00686C99" w:rsidRPr="00686C99">
        <w:rPr>
          <w:rFonts w:ascii="Georgia" w:eastAsia="Arial" w:hAnsi="Georgia"/>
          <w:b/>
          <w:bCs/>
          <w:i/>
          <w:iCs/>
          <w:color w:val="000000"/>
          <w:sz w:val="24"/>
          <w:szCs w:val="24"/>
          <w:lang w:val="es-ES"/>
        </w:rPr>
        <w:t xml:space="preserve"> trabajar</w:t>
      </w:r>
      <w:r w:rsidR="00686C99" w:rsidRPr="00686C9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”, etc.&gt;&gt;.</w:t>
      </w:r>
      <w:r w:rsidR="006A7BB4">
        <w:rPr>
          <w:rFonts w:ascii="Georgia" w:eastAsia="Arial" w:hAnsi="Georgia"/>
          <w:color w:val="000000"/>
          <w:sz w:val="24"/>
          <w:szCs w:val="24"/>
          <w:lang w:val="es-ES"/>
        </w:rPr>
        <w:t xml:space="preserve"> Por las razones expuestas les notifico mi decisión</w:t>
      </w:r>
      <w:r w:rsidR="009726BE">
        <w:rPr>
          <w:rFonts w:ascii="Georgia" w:eastAsia="Arial" w:hAnsi="Georgia"/>
          <w:color w:val="000000"/>
          <w:sz w:val="24"/>
          <w:szCs w:val="24"/>
          <w:lang w:val="es-ES"/>
        </w:rPr>
        <w:t xml:space="preserve"> de acogerme </w:t>
      </w:r>
      <w:r w:rsidR="00CB1729" w:rsidRPr="00B51DF2">
        <w:rPr>
          <w:rFonts w:ascii="Georgia" w:eastAsia="Arial" w:hAnsi="Georgia"/>
          <w:color w:val="000000"/>
          <w:sz w:val="24"/>
          <w:szCs w:val="24"/>
          <w:lang w:val="es-ES"/>
        </w:rPr>
        <w:t>a la moratoria establecida e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>n</w:t>
      </w:r>
      <w:r w:rsidR="00CB1729" w:rsidRP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CB1729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la </w:t>
      </w:r>
      <w:r w:rsidR="00CB1729" w:rsidRPr="00686C99">
        <w:rPr>
          <w:rFonts w:ascii="Georgia" w:eastAsia="Arial" w:hAnsi="Georgia"/>
          <w:color w:val="000000"/>
          <w:sz w:val="24"/>
          <w:szCs w:val="24"/>
          <w:lang w:val="es-ES"/>
        </w:rPr>
        <w:t>Resolución Conjunta del Senado #26 del año 2020</w:t>
      </w:r>
      <w:r w:rsidR="00CB1729" w:rsidRPr="00F673DE">
        <w:rPr>
          <w:rStyle w:val="FootnoteReference"/>
          <w:rFonts w:ascii="Georgia" w:eastAsia="Arial" w:hAnsi="Georgia"/>
          <w:color w:val="000000"/>
          <w:sz w:val="24"/>
          <w:szCs w:val="24"/>
          <w:lang w:val="es-ES"/>
        </w:rPr>
        <w:footnoteReference w:id="1"/>
      </w:r>
      <w:r w:rsidR="00CB1729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 xml:space="preserve"> </w:t>
      </w:r>
      <w:r w:rsidR="00CB1729" w:rsidRPr="006A5AAD">
        <w:rPr>
          <w:rFonts w:ascii="Georgia" w:eastAsia="Arial" w:hAnsi="Georgia"/>
          <w:color w:val="000000"/>
          <w:sz w:val="24"/>
          <w:szCs w:val="24"/>
          <w:lang w:val="es-ES"/>
        </w:rPr>
        <w:t xml:space="preserve">(en adelante 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la </w:t>
      </w:r>
      <w:r w:rsidR="00CB1729" w:rsidRPr="006A5AAD">
        <w:rPr>
          <w:rFonts w:ascii="Georgia" w:eastAsia="Arial" w:hAnsi="Georgia"/>
          <w:color w:val="000000"/>
          <w:sz w:val="24"/>
          <w:szCs w:val="24"/>
          <w:lang w:val="es-ES"/>
        </w:rPr>
        <w:t>“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>R</w:t>
      </w:r>
      <w:r w:rsidR="00CB1729" w:rsidRPr="006A5AAD">
        <w:rPr>
          <w:rFonts w:ascii="Georgia" w:eastAsia="Arial" w:hAnsi="Georgia"/>
          <w:color w:val="000000"/>
          <w:sz w:val="24"/>
          <w:szCs w:val="24"/>
          <w:lang w:val="es-ES"/>
        </w:rPr>
        <w:t>esolución” o “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>R</w:t>
      </w:r>
      <w:r w:rsidR="00CB1729" w:rsidRPr="006A5AAD">
        <w:rPr>
          <w:rFonts w:ascii="Georgia" w:eastAsia="Arial" w:hAnsi="Georgia"/>
          <w:color w:val="000000"/>
          <w:sz w:val="24"/>
          <w:szCs w:val="24"/>
          <w:lang w:val="es-ES"/>
        </w:rPr>
        <w:t xml:space="preserve">esolución 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>C</w:t>
      </w:r>
      <w:r w:rsidR="00CB1729" w:rsidRPr="006A5AAD">
        <w:rPr>
          <w:rFonts w:ascii="Georgia" w:eastAsia="Arial" w:hAnsi="Georgia"/>
          <w:color w:val="000000"/>
          <w:sz w:val="24"/>
          <w:szCs w:val="24"/>
          <w:lang w:val="es-ES"/>
        </w:rPr>
        <w:t>onjunta”)</w:t>
      </w:r>
      <w:r w:rsidR="005C778F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6A7BB4">
        <w:rPr>
          <w:rFonts w:ascii="Georgia" w:eastAsia="Arial" w:hAnsi="Georgia"/>
          <w:color w:val="000000"/>
          <w:sz w:val="24"/>
          <w:szCs w:val="24"/>
          <w:lang w:val="es-ES"/>
        </w:rPr>
        <w:t>que se explica a continuación.</w:t>
      </w:r>
    </w:p>
    <w:p w14:paraId="68C973A7" w14:textId="6E426F07" w:rsidR="00BB38F8" w:rsidRPr="00F673DE" w:rsidRDefault="00C4195E" w:rsidP="00B14828">
      <w:pPr>
        <w:spacing w:before="120" w:after="120" w:line="360" w:lineRule="auto"/>
        <w:ind w:firstLine="7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>
        <w:rPr>
          <w:rFonts w:ascii="Georgia" w:eastAsia="Arial" w:hAnsi="Georgia"/>
          <w:color w:val="000000"/>
          <w:sz w:val="24"/>
          <w:szCs w:val="24"/>
          <w:lang w:val="es-ES"/>
        </w:rPr>
        <w:t>E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l 12 de marzo de 2020, la Gobernadora de Puerto Rico decretó un </w:t>
      </w:r>
      <w:r w:rsidR="00C0174A" w:rsidRPr="006A5AAD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estado de emergencia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mediante </w:t>
      </w:r>
      <w:r w:rsidR="006A5AAD">
        <w:rPr>
          <w:rFonts w:ascii="Georgia" w:eastAsia="Arial" w:hAnsi="Georgia"/>
          <w:color w:val="000000"/>
          <w:sz w:val="24"/>
          <w:szCs w:val="24"/>
          <w:lang w:val="es-ES"/>
        </w:rPr>
        <w:t>l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a </w:t>
      </w:r>
      <w:r w:rsidR="003D522A" w:rsidRPr="00F673DE">
        <w:rPr>
          <w:rFonts w:ascii="Georgia" w:eastAsia="Arial" w:hAnsi="Georgia"/>
          <w:color w:val="000000"/>
          <w:sz w:val="24"/>
          <w:szCs w:val="24"/>
          <w:lang w:val="es-ES"/>
        </w:rPr>
        <w:t>Orden Ejecutiva</w:t>
      </w:r>
      <w:r w:rsidR="003D522A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6A5AAD">
        <w:rPr>
          <w:rFonts w:ascii="Georgia" w:eastAsia="Arial" w:hAnsi="Georgia"/>
          <w:color w:val="000000"/>
          <w:sz w:val="24"/>
          <w:szCs w:val="24"/>
          <w:lang w:val="es-ES"/>
        </w:rPr>
        <w:t>OE-2020-020</w:t>
      </w:r>
      <w:r w:rsidR="00C0174A" w:rsidRPr="00F673DE">
        <w:rPr>
          <w:rStyle w:val="FootnoteReference"/>
          <w:rFonts w:ascii="Georgia" w:eastAsia="Arial" w:hAnsi="Georgia"/>
          <w:color w:val="000000"/>
          <w:sz w:val="24"/>
          <w:szCs w:val="24"/>
          <w:lang w:val="es-ES"/>
        </w:rPr>
        <w:footnoteReference w:id="2"/>
      </w:r>
      <w:r>
        <w:rPr>
          <w:rFonts w:ascii="Georgia" w:eastAsia="Arial" w:hAnsi="Georgia"/>
          <w:color w:val="000000"/>
          <w:sz w:val="24"/>
          <w:szCs w:val="24"/>
          <w:lang w:val="es-ES"/>
        </w:rPr>
        <w:t>. Esta orden ejecutiva declaró a Puerto Rico en estado de emergencia e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>
        <w:rPr>
          <w:rFonts w:ascii="Georgia" w:eastAsia="Arial" w:hAnsi="Georgia"/>
          <w:color w:val="000000"/>
          <w:sz w:val="24"/>
          <w:szCs w:val="24"/>
          <w:lang w:val="es-ES"/>
        </w:rPr>
        <w:t xml:space="preserve">impuso 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>medidas de aislamiento social y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>
        <w:rPr>
          <w:rFonts w:ascii="Georgia" w:eastAsia="Arial" w:hAnsi="Georgia"/>
          <w:color w:val="000000"/>
          <w:sz w:val="24"/>
          <w:szCs w:val="24"/>
          <w:lang w:val="es-ES"/>
        </w:rPr>
        <w:t xml:space="preserve">el 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cierre de </w:t>
      </w:r>
      <w:r w:rsidR="006A5AAD">
        <w:rPr>
          <w:rFonts w:ascii="Georgia" w:eastAsia="Arial" w:hAnsi="Georgia"/>
          <w:color w:val="000000"/>
          <w:sz w:val="24"/>
          <w:szCs w:val="24"/>
          <w:lang w:val="es-ES"/>
        </w:rPr>
        <w:t xml:space="preserve">oficinas y 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>comercios</w:t>
      </w:r>
      <w:r w:rsidR="00087920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C0174A" w:rsidRPr="00F673DE">
        <w:rPr>
          <w:rFonts w:ascii="Georgia" w:eastAsia="Arial" w:hAnsi="Georgia"/>
          <w:color w:val="000000"/>
          <w:sz w:val="24"/>
          <w:szCs w:val="24"/>
          <w:lang w:val="es-ES"/>
        </w:rPr>
        <w:t>para controlar la propagación del virus SARS-CoV-19 (COVID-19).</w:t>
      </w:r>
      <w:r w:rsidR="005C279A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>En respuesta al estado de emergencia decretado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 por la Gobernadora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, la Cámara de Representantes y el Senado de Puerto Rico aprobaron </w:t>
      </w:r>
      <w:r w:rsidR="006A5AAD">
        <w:rPr>
          <w:rFonts w:ascii="Georgia" w:eastAsia="Arial" w:hAnsi="Georgia"/>
          <w:color w:val="000000"/>
          <w:sz w:val="24"/>
          <w:szCs w:val="24"/>
          <w:lang w:val="es-ES"/>
        </w:rPr>
        <w:t>la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Resolución Conjunta</w:t>
      </w:r>
      <w:r w:rsidR="00087920">
        <w:rPr>
          <w:rFonts w:ascii="Georgia" w:eastAsia="Arial" w:hAnsi="Georgia"/>
          <w:color w:val="000000"/>
          <w:sz w:val="24"/>
          <w:szCs w:val="24"/>
          <w:lang w:val="es-ES"/>
        </w:rPr>
        <w:t xml:space="preserve"> antes citada</w:t>
      </w:r>
      <w:r w:rsidR="00CB1729">
        <w:rPr>
          <w:rFonts w:ascii="Georgia" w:eastAsia="Arial" w:hAnsi="Georgia"/>
          <w:color w:val="000000"/>
          <w:sz w:val="24"/>
          <w:szCs w:val="24"/>
          <w:lang w:val="es-ES"/>
        </w:rPr>
        <w:t xml:space="preserve"> para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087920">
        <w:rPr>
          <w:rFonts w:ascii="Georgia" w:eastAsia="Arial" w:hAnsi="Georgia"/>
          <w:color w:val="000000"/>
          <w:sz w:val="24"/>
          <w:szCs w:val="24"/>
          <w:lang w:val="es-ES"/>
        </w:rPr>
        <w:t xml:space="preserve">mitigar 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>el impacto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económic</w:t>
      </w:r>
      <w:r w:rsidR="00087920">
        <w:rPr>
          <w:rFonts w:ascii="Georgia" w:eastAsia="Arial" w:hAnsi="Georgia"/>
          <w:color w:val="000000"/>
          <w:sz w:val="24"/>
          <w:szCs w:val="24"/>
          <w:lang w:val="es-ES"/>
        </w:rPr>
        <w:t xml:space="preserve">o 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>de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585865">
        <w:rPr>
          <w:rFonts w:ascii="Georgia" w:eastAsia="Arial" w:hAnsi="Georgia"/>
          <w:color w:val="000000"/>
          <w:sz w:val="24"/>
          <w:szCs w:val="24"/>
          <w:lang w:val="es-ES"/>
        </w:rPr>
        <w:t>estas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medidas rigurosas </w:t>
      </w:r>
      <w:r w:rsidR="00087920">
        <w:rPr>
          <w:rFonts w:ascii="Georgia" w:eastAsia="Arial" w:hAnsi="Georgia"/>
          <w:color w:val="000000"/>
          <w:sz w:val="24"/>
          <w:szCs w:val="24"/>
          <w:lang w:val="es-ES"/>
        </w:rPr>
        <w:t>que ha implementado el</w:t>
      </w:r>
      <w:r w:rsidR="00585865">
        <w:rPr>
          <w:rFonts w:ascii="Georgia" w:eastAsia="Arial" w:hAnsi="Georgia"/>
          <w:color w:val="000000"/>
          <w:sz w:val="24"/>
          <w:szCs w:val="24"/>
          <w:lang w:val="es-ES"/>
        </w:rPr>
        <w:t xml:space="preserve"> Gobierno de Puerto Rico</w:t>
      </w:r>
      <w:r w:rsidR="00BB38F8" w:rsidRPr="00F673DE">
        <w:rPr>
          <w:rFonts w:ascii="Georgia" w:eastAsia="Arial" w:hAnsi="Georgia"/>
          <w:color w:val="000000"/>
          <w:sz w:val="24"/>
          <w:szCs w:val="24"/>
          <w:lang w:val="es-ES"/>
        </w:rPr>
        <w:t>.</w:t>
      </w:r>
    </w:p>
    <w:p w14:paraId="5DED8EBC" w14:textId="02F601B2" w:rsidR="00A25E7D" w:rsidRPr="00686C99" w:rsidRDefault="00A25E7D" w:rsidP="00B14828">
      <w:pPr>
        <w:spacing w:before="120" w:after="120" w:line="360" w:lineRule="auto"/>
        <w:ind w:firstLine="7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La Resolución Conjunta 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>impone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una </w:t>
      </w:r>
      <w:r w:rsidRPr="009726B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moratoria especial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 xml:space="preserve">en todos los 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>préstamos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 xml:space="preserve"> personales, hipotecarios, de auto y/o tarjetas de crédito 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>cuando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 xml:space="preserve"> el deudor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 xml:space="preserve"> notifique que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 xml:space="preserve"> se ha visto 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afectad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>o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>por las medidas establecidas mediante la orden ejecutiva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.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La 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lastRenderedPageBreak/>
        <w:t xml:space="preserve">moratoria consiste en la suspensión de los </w:t>
      </w:r>
      <w:r w:rsidR="00186B87">
        <w:rPr>
          <w:rFonts w:ascii="Georgia" w:eastAsia="Arial" w:hAnsi="Georgia"/>
          <w:color w:val="000000"/>
          <w:sz w:val="24"/>
          <w:szCs w:val="24"/>
          <w:lang w:val="es-ES"/>
        </w:rPr>
        <w:t>pagos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860C4D">
        <w:rPr>
          <w:rFonts w:ascii="Georgia" w:eastAsia="Arial" w:hAnsi="Georgia"/>
          <w:color w:val="000000"/>
          <w:sz w:val="24"/>
          <w:szCs w:val="24"/>
          <w:lang w:val="es-ES"/>
        </w:rPr>
        <w:t>de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0C7A44"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marzo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, </w:t>
      </w:r>
      <w:r w:rsidR="000C7A44"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abril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, </w:t>
      </w:r>
      <w:r w:rsidR="000C7A44"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mayo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y </w:t>
      </w:r>
      <w:r w:rsidR="000C7A44"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>junio</w:t>
      </w:r>
      <w:r w:rsidR="000C7A44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0C7A44" w:rsidRPr="00F673DE">
        <w:rPr>
          <w:rFonts w:ascii="Georgia" w:eastAsia="Arial" w:hAnsi="Georgia"/>
          <w:b/>
          <w:bCs/>
          <w:color w:val="000000"/>
          <w:sz w:val="24"/>
          <w:szCs w:val="24"/>
          <w:lang w:val="es-ES"/>
        </w:rPr>
        <w:t xml:space="preserve">de </w:t>
      </w:r>
      <w:r w:rsidR="000C7A44" w:rsidRPr="00686C99">
        <w:rPr>
          <w:rFonts w:ascii="Georgia" w:eastAsia="Arial" w:hAnsi="Georgia"/>
          <w:color w:val="000000"/>
          <w:sz w:val="24"/>
          <w:szCs w:val="24"/>
          <w:lang w:val="es-ES"/>
        </w:rPr>
        <w:t>2020</w:t>
      </w:r>
      <w:r w:rsidR="00860C4D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, extendiendo el 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vencimiento </w:t>
      </w:r>
      <w:r w:rsidR="005C279A" w:rsidRPr="00686C99">
        <w:rPr>
          <w:rFonts w:ascii="Georgia" w:eastAsia="Arial" w:hAnsi="Georgia"/>
          <w:color w:val="000000"/>
          <w:sz w:val="24"/>
          <w:szCs w:val="24"/>
          <w:lang w:val="es-ES"/>
        </w:rPr>
        <w:t>de</w:t>
      </w:r>
      <w:r w:rsidR="00860C4D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l </w:t>
      </w:r>
      <w:r w:rsidR="005C279A" w:rsidRPr="00686C99">
        <w:rPr>
          <w:rFonts w:ascii="Georgia" w:eastAsia="Arial" w:hAnsi="Georgia"/>
          <w:color w:val="000000"/>
          <w:sz w:val="24"/>
          <w:szCs w:val="24"/>
          <w:lang w:val="es-ES"/>
        </w:rPr>
        <w:t>pr</w:t>
      </w:r>
      <w:r w:rsidR="00186B87" w:rsidRPr="00686C99">
        <w:rPr>
          <w:rFonts w:ascii="Georgia" w:eastAsia="Arial" w:hAnsi="Georgia"/>
          <w:color w:val="000000"/>
          <w:sz w:val="24"/>
          <w:szCs w:val="24"/>
          <w:lang w:val="es-ES"/>
        </w:rPr>
        <w:t>é</w:t>
      </w:r>
      <w:r w:rsidR="005C279A" w:rsidRPr="00686C99">
        <w:rPr>
          <w:rFonts w:ascii="Georgia" w:eastAsia="Arial" w:hAnsi="Georgia"/>
          <w:color w:val="000000"/>
          <w:sz w:val="24"/>
          <w:szCs w:val="24"/>
          <w:lang w:val="es-ES"/>
        </w:rPr>
        <w:t>stam</w:t>
      </w:r>
      <w:r w:rsidR="00860C4D" w:rsidRPr="00686C99">
        <w:rPr>
          <w:rFonts w:ascii="Georgia" w:eastAsia="Arial" w:hAnsi="Georgia"/>
          <w:color w:val="000000"/>
          <w:sz w:val="24"/>
          <w:szCs w:val="24"/>
          <w:lang w:val="es-ES"/>
        </w:rPr>
        <w:t>o</w:t>
      </w:r>
      <w:r w:rsidR="005C279A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>por una cantidad igual de plazos a los dejados de realizar.</w:t>
      </w:r>
    </w:p>
    <w:p w14:paraId="241DC698" w14:textId="767E09CF" w:rsidR="006856D2" w:rsidRPr="00686C99" w:rsidRDefault="00E7299B" w:rsidP="00B14828">
      <w:pPr>
        <w:spacing w:before="120" w:after="120" w:line="360" w:lineRule="auto"/>
        <w:ind w:firstLine="7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>L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a </w:t>
      </w:r>
      <w:r w:rsidR="00686C99">
        <w:rPr>
          <w:rFonts w:ascii="Georgia" w:eastAsia="Arial" w:hAnsi="Georgia"/>
          <w:color w:val="000000"/>
          <w:sz w:val="24"/>
          <w:szCs w:val="24"/>
          <w:lang w:val="es-ES"/>
        </w:rPr>
        <w:t>S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ección 11 de la Resolución Conjunta, prohíbe </w:t>
      </w:r>
      <w:r w:rsidR="00185F30" w:rsidRPr="00686C99">
        <w:rPr>
          <w:rFonts w:ascii="Georgia" w:eastAsia="Arial" w:hAnsi="Georgia"/>
          <w:color w:val="000000"/>
          <w:sz w:val="24"/>
          <w:szCs w:val="24"/>
          <w:lang w:val="es-ES"/>
        </w:rPr>
        <w:t>la imposición de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 recargos, penalidades</w:t>
      </w: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, </w:t>
      </w:r>
      <w:r w:rsidR="00C91537" w:rsidRPr="00686C99">
        <w:rPr>
          <w:rFonts w:ascii="Georgia" w:eastAsia="Arial" w:hAnsi="Georgia"/>
          <w:color w:val="000000"/>
          <w:sz w:val="24"/>
          <w:szCs w:val="24"/>
          <w:lang w:val="es-ES"/>
        </w:rPr>
        <w:t>el aumento en tasa de interés y/o el cargo de intereses adicionales</w:t>
      </w: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 </w:t>
      </w:r>
      <w:r w:rsidR="00C41459">
        <w:rPr>
          <w:rFonts w:ascii="Georgia" w:eastAsia="Arial" w:hAnsi="Georgia"/>
          <w:color w:val="000000"/>
          <w:sz w:val="24"/>
          <w:szCs w:val="24"/>
          <w:lang w:val="es-ES"/>
        </w:rPr>
        <w:t>y</w:t>
      </w:r>
      <w:r w:rsidR="00185F30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 la </w:t>
      </w:r>
      <w:r w:rsidR="00686C99">
        <w:rPr>
          <w:rFonts w:ascii="Georgia" w:eastAsia="Arial" w:hAnsi="Georgia"/>
          <w:color w:val="000000"/>
          <w:sz w:val="24"/>
          <w:szCs w:val="24"/>
          <w:lang w:val="es-ES"/>
        </w:rPr>
        <w:t>S</w:t>
      </w:r>
      <w:r w:rsidR="00185F30" w:rsidRPr="00686C99">
        <w:rPr>
          <w:rFonts w:ascii="Georgia" w:eastAsia="Arial" w:hAnsi="Georgia"/>
          <w:color w:val="000000"/>
          <w:sz w:val="24"/>
          <w:szCs w:val="24"/>
          <w:lang w:val="es-ES"/>
        </w:rPr>
        <w:t>ección 14 prohíbe notificar a agencias de crédito</w:t>
      </w:r>
      <w:r w:rsidR="00BA615B" w:rsidRPr="00686C99">
        <w:rPr>
          <w:rFonts w:ascii="Georgia" w:eastAsia="Arial" w:hAnsi="Georgia"/>
          <w:color w:val="000000"/>
          <w:sz w:val="24"/>
          <w:szCs w:val="24"/>
          <w:lang w:val="es-ES"/>
        </w:rPr>
        <w:t xml:space="preserve"> que el préstamo se encuentra en moratoria.</w:t>
      </w:r>
    </w:p>
    <w:p w14:paraId="745D3CF4" w14:textId="56D47863" w:rsidR="00D2430D" w:rsidRPr="00F673DE" w:rsidRDefault="00A406C5" w:rsidP="00B14828">
      <w:pPr>
        <w:spacing w:before="120" w:after="120" w:line="360" w:lineRule="auto"/>
        <w:ind w:firstLine="7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Sin nada adicional por el </w:t>
      </w:r>
      <w:r w:rsidR="00B33435" w:rsidRPr="00F673DE">
        <w:rPr>
          <w:rFonts w:ascii="Georgia" w:eastAsia="Arial" w:hAnsi="Georgia"/>
          <w:color w:val="000000"/>
          <w:sz w:val="24"/>
          <w:szCs w:val="24"/>
          <w:lang w:val="es-ES"/>
        </w:rPr>
        <w:t>m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omento</w:t>
      </w:r>
      <w:r w:rsidR="009A4F13" w:rsidRPr="00F673DE">
        <w:rPr>
          <w:rFonts w:ascii="Georgia" w:eastAsia="Arial" w:hAnsi="Georgia"/>
          <w:color w:val="000000"/>
          <w:sz w:val="24"/>
          <w:szCs w:val="24"/>
          <w:lang w:val="es-ES"/>
        </w:rPr>
        <w:t xml:space="preserve">, 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qued</w:t>
      </w:r>
      <w:r w:rsidR="00B14828">
        <w:rPr>
          <w:rFonts w:ascii="Georgia" w:eastAsia="Arial" w:hAnsi="Georgia"/>
          <w:color w:val="000000"/>
          <w:sz w:val="24"/>
          <w:szCs w:val="24"/>
          <w:lang w:val="es-ES"/>
        </w:rPr>
        <w:t xml:space="preserve">o </w:t>
      </w:r>
      <w:r w:rsidR="00F54545" w:rsidRPr="00F673DE">
        <w:rPr>
          <w:rFonts w:ascii="Georgia" w:eastAsia="Arial" w:hAnsi="Georgia"/>
          <w:color w:val="000000"/>
          <w:sz w:val="24"/>
          <w:szCs w:val="24"/>
          <w:lang w:val="es-ES"/>
        </w:rPr>
        <w:t>en espera de su conf</w:t>
      </w:r>
      <w:r w:rsidR="00686C99">
        <w:rPr>
          <w:rFonts w:ascii="Georgia" w:eastAsia="Arial" w:hAnsi="Georgia"/>
          <w:color w:val="000000"/>
          <w:sz w:val="24"/>
          <w:szCs w:val="24"/>
          <w:lang w:val="es-ES"/>
        </w:rPr>
        <w:t>i</w:t>
      </w:r>
      <w:r w:rsidR="00F54545" w:rsidRPr="00F673DE">
        <w:rPr>
          <w:rFonts w:ascii="Georgia" w:eastAsia="Arial" w:hAnsi="Georgia"/>
          <w:color w:val="000000"/>
          <w:sz w:val="24"/>
          <w:szCs w:val="24"/>
          <w:lang w:val="es-ES"/>
        </w:rPr>
        <w:t>rmación y cumplimiento</w:t>
      </w: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.</w:t>
      </w:r>
    </w:p>
    <w:p w14:paraId="359E5D80" w14:textId="6A4F8A7B" w:rsidR="00045B93" w:rsidRPr="00F673DE" w:rsidRDefault="00A406C5" w:rsidP="009A4F13">
      <w:pPr>
        <w:spacing w:before="120" w:after="120" w:line="276" w:lineRule="auto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F673DE">
        <w:rPr>
          <w:rFonts w:ascii="Georgia" w:eastAsia="Arial" w:hAnsi="Georgia"/>
          <w:color w:val="000000"/>
          <w:sz w:val="24"/>
          <w:szCs w:val="24"/>
          <w:lang w:val="es-ES"/>
        </w:rPr>
        <w:t>Muy respetuosamente</w:t>
      </w:r>
      <w:r w:rsidR="00D3359A" w:rsidRPr="00F673DE">
        <w:rPr>
          <w:rFonts w:ascii="Georgia" w:eastAsia="Arial" w:hAnsi="Georgia"/>
          <w:color w:val="000000"/>
          <w:sz w:val="24"/>
          <w:szCs w:val="24"/>
          <w:lang w:val="es-ES"/>
        </w:rPr>
        <w:t>,</w:t>
      </w:r>
    </w:p>
    <w:p w14:paraId="436652A0" w14:textId="58D881DD" w:rsidR="009A4F13" w:rsidRPr="00F673DE" w:rsidRDefault="009A4F13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</w:p>
    <w:p w14:paraId="04FAE709" w14:textId="460A3912" w:rsidR="009A4F13" w:rsidRPr="00F673DE" w:rsidRDefault="00686C99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>
        <w:rPr>
          <w:rFonts w:ascii="Georgia" w:eastAsia="Arial" w:hAnsi="Georgia"/>
          <w:color w:val="000000"/>
          <w:sz w:val="24"/>
          <w:szCs w:val="24"/>
          <w:lang w:val="es-ES"/>
        </w:rPr>
        <w:t>&lt;&lt;Firma&gt;&gt;</w:t>
      </w:r>
    </w:p>
    <w:p w14:paraId="7125AD2F" w14:textId="2BDAE5B4" w:rsidR="00386593" w:rsidRPr="00686C99" w:rsidRDefault="00686C99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>&lt;&lt;Nombre del deudor&gt;&gt;</w:t>
      </w:r>
    </w:p>
    <w:p w14:paraId="65A9B698" w14:textId="4FD16BC4" w:rsidR="00686C99" w:rsidRPr="00686C99" w:rsidRDefault="00686C99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>&lt;&lt;Teléfono&gt;&gt;</w:t>
      </w:r>
    </w:p>
    <w:p w14:paraId="07AAE42A" w14:textId="525F787C" w:rsidR="00686C99" w:rsidRPr="00686C99" w:rsidRDefault="00686C99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  <w:r w:rsidRPr="00686C99">
        <w:rPr>
          <w:rFonts w:ascii="Georgia" w:eastAsia="Arial" w:hAnsi="Georgia"/>
          <w:color w:val="000000"/>
          <w:sz w:val="24"/>
          <w:szCs w:val="24"/>
          <w:lang w:val="es-ES"/>
        </w:rPr>
        <w:t>&lt;&lt;Dirección Postal&gt;&gt;</w:t>
      </w:r>
    </w:p>
    <w:p w14:paraId="359AFBED" w14:textId="77777777" w:rsidR="00686C99" w:rsidRPr="00686C99" w:rsidRDefault="00686C99" w:rsidP="009A4F13">
      <w:pPr>
        <w:spacing w:before="120" w:after="120"/>
        <w:jc w:val="both"/>
        <w:textAlignment w:val="baseline"/>
        <w:rPr>
          <w:rFonts w:ascii="Georgia" w:eastAsia="Arial" w:hAnsi="Georgia"/>
          <w:color w:val="000000"/>
          <w:sz w:val="24"/>
          <w:szCs w:val="24"/>
          <w:lang w:val="es-ES"/>
        </w:rPr>
      </w:pPr>
    </w:p>
    <w:sectPr w:rsidR="00686C99" w:rsidRPr="00686C99" w:rsidSect="009A4F13">
      <w:headerReference w:type="default" r:id="rId8"/>
      <w:headerReference w:type="first" r:id="rId9"/>
      <w:pgSz w:w="12240" w:h="15840"/>
      <w:pgMar w:top="720" w:right="1440" w:bottom="1440" w:left="1440" w:header="720" w:footer="9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B6B5" w14:textId="77777777" w:rsidR="00E4643A" w:rsidRDefault="00E4643A" w:rsidP="00D3359A">
      <w:r>
        <w:separator/>
      </w:r>
    </w:p>
  </w:endnote>
  <w:endnote w:type="continuationSeparator" w:id="0">
    <w:p w14:paraId="166E63CD" w14:textId="77777777" w:rsidR="00E4643A" w:rsidRDefault="00E4643A" w:rsidP="00D3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F137" w14:textId="77777777" w:rsidR="00E4643A" w:rsidRDefault="00E4643A" w:rsidP="00D3359A">
      <w:r>
        <w:separator/>
      </w:r>
    </w:p>
  </w:footnote>
  <w:footnote w:type="continuationSeparator" w:id="0">
    <w:p w14:paraId="4487D074" w14:textId="77777777" w:rsidR="00E4643A" w:rsidRDefault="00E4643A" w:rsidP="00D3359A">
      <w:r>
        <w:continuationSeparator/>
      </w:r>
    </w:p>
  </w:footnote>
  <w:footnote w:id="1">
    <w:p w14:paraId="4CE670D6" w14:textId="77777777" w:rsidR="00CB1729" w:rsidRPr="00B73CCC" w:rsidRDefault="00CB1729" w:rsidP="00CB172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73CCC">
        <w:rPr>
          <w:lang w:val="es-ES"/>
        </w:rPr>
        <w:t xml:space="preserve"> </w:t>
      </w:r>
      <w:r>
        <w:rPr>
          <w:lang w:val="es-ES"/>
        </w:rPr>
        <w:t>Resolución Conjunta del Senado #489 aprobada por la legislatura el 31 de marzo de 2020 y firmada por la Gobernadora de Puerto Rico el 14 de abril de 2020 pasando a ser la Resolución Conjunta #26 del 2020 (Res. Conj. 26-2020).</w:t>
      </w:r>
    </w:p>
  </w:footnote>
  <w:footnote w:id="2">
    <w:p w14:paraId="679805D8" w14:textId="7FF32646" w:rsidR="00C0174A" w:rsidRPr="00883300" w:rsidRDefault="00C0174A" w:rsidP="00C0174A">
      <w:pPr>
        <w:pStyle w:val="FootnoteText"/>
        <w:rPr>
          <w:szCs w:val="20"/>
          <w:lang w:val="es-ES"/>
        </w:rPr>
      </w:pPr>
      <w:r w:rsidRPr="00883300">
        <w:rPr>
          <w:rStyle w:val="FootnoteReference"/>
          <w:szCs w:val="20"/>
        </w:rPr>
        <w:footnoteRef/>
      </w:r>
      <w:r w:rsidRPr="00883300">
        <w:rPr>
          <w:szCs w:val="20"/>
          <w:lang w:val="es-ES"/>
        </w:rPr>
        <w:t xml:space="preserve"> Véase Orden Ejecutiva - </w:t>
      </w:r>
      <w:r w:rsidRPr="00883300">
        <w:rPr>
          <w:rFonts w:eastAsia="Arial"/>
          <w:color w:val="000000"/>
          <w:szCs w:val="20"/>
          <w:lang w:val="es-ES"/>
        </w:rPr>
        <w:t>OE-2020-02</w:t>
      </w:r>
      <w:r w:rsidR="008C5A47">
        <w:rPr>
          <w:rFonts w:eastAsia="Arial"/>
          <w:color w:val="000000"/>
          <w:szCs w:val="20"/>
          <w:lang w:val="es-ES"/>
        </w:rPr>
        <w:t xml:space="preserve">0, </w:t>
      </w:r>
      <w:r w:rsidR="008C5A47" w:rsidRPr="00883300">
        <w:rPr>
          <w:rFonts w:eastAsia="Arial"/>
          <w:color w:val="000000"/>
          <w:szCs w:val="20"/>
          <w:lang w:val="es-ES"/>
        </w:rPr>
        <w:t>OE-2020-02</w:t>
      </w:r>
      <w:r w:rsidRPr="00883300">
        <w:rPr>
          <w:rFonts w:eastAsia="Arial"/>
          <w:color w:val="000000"/>
          <w:szCs w:val="20"/>
          <w:lang w:val="es-ES"/>
        </w:rPr>
        <w:t>3</w:t>
      </w:r>
      <w:r w:rsidR="008C5A47">
        <w:rPr>
          <w:rFonts w:eastAsia="Arial"/>
          <w:color w:val="000000"/>
          <w:szCs w:val="20"/>
          <w:lang w:val="es-ES"/>
        </w:rPr>
        <w:t xml:space="preserve">   </w:t>
      </w:r>
      <w:r w:rsidR="008C5A47" w:rsidRPr="008C5A47">
        <w:rPr>
          <w:rFonts w:eastAsia="Arial"/>
          <w:color w:val="000000"/>
          <w:szCs w:val="20"/>
          <w:lang w:val="es-ES"/>
        </w:rPr>
        <w:t>OE-2020-029, OE-2020-030, OE-2020-032, OE-2020-033 y OE-2020-034</w:t>
      </w:r>
      <w:r w:rsidRPr="00883300">
        <w:rPr>
          <w:rFonts w:eastAsia="Arial"/>
          <w:color w:val="000000"/>
          <w:szCs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747D" w14:textId="3159CF82" w:rsidR="00553991" w:rsidRPr="00EA2921" w:rsidRDefault="00553991" w:rsidP="00D96000">
    <w:pPr>
      <w:pStyle w:val="Header"/>
      <w:rPr>
        <w:rFonts w:ascii="Georgia" w:hAnsi="Georgia"/>
        <w:i/>
        <w:iCs/>
        <w:sz w:val="20"/>
        <w:szCs w:val="20"/>
        <w:lang w:val="es-ES"/>
      </w:rPr>
    </w:pPr>
  </w:p>
  <w:p w14:paraId="1E177CD6" w14:textId="73E8043B" w:rsidR="00EA2921" w:rsidRPr="00686C99" w:rsidRDefault="00686C99" w:rsidP="00D96000">
    <w:pPr>
      <w:pStyle w:val="Header"/>
      <w:pBdr>
        <w:bottom w:val="single" w:sz="12" w:space="1" w:color="auto"/>
      </w:pBdr>
      <w:rPr>
        <w:rFonts w:ascii="Georgia" w:hAnsi="Georgia"/>
        <w:i/>
        <w:iCs/>
        <w:sz w:val="20"/>
        <w:szCs w:val="20"/>
        <w:lang w:val="es-ES"/>
      </w:rPr>
    </w:pPr>
    <w:r w:rsidRPr="00EA2921">
      <w:rPr>
        <w:rFonts w:ascii="Georgia" w:hAnsi="Georgia"/>
        <w:i/>
        <w:iCs/>
        <w:sz w:val="20"/>
        <w:szCs w:val="20"/>
        <w:lang w:val="es-ES"/>
      </w:rPr>
      <w:t>Préstamo</w:t>
    </w:r>
    <w:r>
      <w:rPr>
        <w:rFonts w:ascii="Georgia" w:hAnsi="Georgia"/>
        <w:i/>
        <w:iCs/>
        <w:sz w:val="20"/>
        <w:szCs w:val="20"/>
        <w:lang w:val="es-ES"/>
      </w:rPr>
      <w:t xml:space="preserve"> </w:t>
    </w:r>
    <w:r w:rsidR="00EA2921" w:rsidRPr="00EA2921">
      <w:rPr>
        <w:rFonts w:ascii="Georgia" w:hAnsi="Georgia"/>
        <w:i/>
        <w:iCs/>
        <w:sz w:val="20"/>
        <w:szCs w:val="20"/>
        <w:lang w:val="es-ES"/>
      </w:rPr>
      <w:t>#</w:t>
    </w:r>
    <w:r w:rsidRPr="00686C99">
      <w:rPr>
        <w:rFonts w:ascii="Georgia" w:hAnsi="Georgia"/>
        <w:i/>
        <w:iCs/>
        <w:sz w:val="20"/>
        <w:szCs w:val="20"/>
        <w:lang w:val="es-ES"/>
      </w:rPr>
      <w:t>&lt;&lt;N</w:t>
    </w:r>
    <w:r>
      <w:rPr>
        <w:rFonts w:ascii="Georgia" w:hAnsi="Georgia"/>
        <w:i/>
        <w:iCs/>
        <w:sz w:val="20"/>
        <w:szCs w:val="20"/>
        <w:lang w:val="es-ES"/>
      </w:rPr>
      <w:t>úmero de préstamo&gt;&gt;</w:t>
    </w:r>
  </w:p>
  <w:p w14:paraId="3B73646F" w14:textId="54E0CF43" w:rsidR="00EA2921" w:rsidRPr="00EA2921" w:rsidRDefault="00EA2921" w:rsidP="00D96000">
    <w:pPr>
      <w:pStyle w:val="Header"/>
      <w:pBdr>
        <w:bottom w:val="single" w:sz="12" w:space="1" w:color="auto"/>
      </w:pBdr>
      <w:rPr>
        <w:rFonts w:ascii="Georgia" w:hAnsi="Georgia"/>
        <w:i/>
        <w:iCs/>
        <w:sz w:val="20"/>
        <w:szCs w:val="20"/>
        <w:lang w:val="es-ES"/>
      </w:rPr>
    </w:pPr>
    <w:r>
      <w:rPr>
        <w:rFonts w:ascii="Georgia" w:hAnsi="Georgia"/>
        <w:i/>
        <w:iCs/>
        <w:sz w:val="20"/>
        <w:szCs w:val="20"/>
        <w:lang w:val="es-ES"/>
      </w:rPr>
      <w:t>17 de abril de 2020</w:t>
    </w:r>
  </w:p>
  <w:p w14:paraId="1F8EA1DC" w14:textId="7EF87E70" w:rsidR="000F7D8E" w:rsidRPr="00EA2921" w:rsidRDefault="000F7D8E" w:rsidP="00D96000">
    <w:pPr>
      <w:pStyle w:val="Header"/>
      <w:pBdr>
        <w:bottom w:val="single" w:sz="12" w:space="1" w:color="auto"/>
      </w:pBdr>
      <w:rPr>
        <w:rFonts w:ascii="Georgia" w:hAnsi="Georgia"/>
        <w:i/>
        <w:sz w:val="20"/>
        <w:szCs w:val="20"/>
        <w:lang w:val="es-ES_tradnl"/>
      </w:rPr>
    </w:pPr>
    <w:r w:rsidRPr="00EA2921">
      <w:rPr>
        <w:rFonts w:ascii="Georgia" w:hAnsi="Georgia"/>
        <w:i/>
        <w:sz w:val="20"/>
        <w:szCs w:val="20"/>
        <w:lang w:val="es-ES_tradnl"/>
      </w:rPr>
      <w:t xml:space="preserve">Página </w:t>
    </w:r>
    <w:r w:rsidRPr="00EA2921">
      <w:rPr>
        <w:rFonts w:ascii="Georgia" w:hAnsi="Georgia"/>
        <w:i/>
        <w:sz w:val="20"/>
        <w:szCs w:val="20"/>
        <w:lang w:val="es-ES_tradnl"/>
      </w:rPr>
      <w:fldChar w:fldCharType="begin"/>
    </w:r>
    <w:r w:rsidRPr="00EA2921">
      <w:rPr>
        <w:rFonts w:ascii="Georgia" w:hAnsi="Georgia"/>
        <w:i/>
        <w:sz w:val="20"/>
        <w:szCs w:val="20"/>
        <w:lang w:val="es-ES_tradnl"/>
      </w:rPr>
      <w:instrText xml:space="preserve"> PAGE </w:instrText>
    </w:r>
    <w:r w:rsidRPr="00EA2921">
      <w:rPr>
        <w:rFonts w:ascii="Georgia" w:hAnsi="Georgia"/>
        <w:i/>
        <w:sz w:val="20"/>
        <w:szCs w:val="20"/>
        <w:lang w:val="es-ES_tradnl"/>
      </w:rPr>
      <w:fldChar w:fldCharType="separate"/>
    </w:r>
    <w:r w:rsidRPr="00EA2921">
      <w:rPr>
        <w:rFonts w:ascii="Georgia" w:hAnsi="Georgia"/>
        <w:i/>
        <w:noProof/>
        <w:sz w:val="20"/>
        <w:szCs w:val="20"/>
        <w:lang w:val="es-ES_tradnl"/>
      </w:rPr>
      <w:t>2</w:t>
    </w:r>
    <w:r w:rsidRPr="00EA2921">
      <w:rPr>
        <w:rFonts w:ascii="Georgia" w:hAnsi="Georgia"/>
        <w:i/>
        <w:sz w:val="20"/>
        <w:szCs w:val="20"/>
        <w:lang w:val="es-ES_tradnl"/>
      </w:rPr>
      <w:fldChar w:fldCharType="end"/>
    </w:r>
    <w:r w:rsidRPr="00EA2921">
      <w:rPr>
        <w:rFonts w:ascii="Georgia" w:hAnsi="Georgia"/>
        <w:i/>
        <w:sz w:val="20"/>
        <w:szCs w:val="20"/>
        <w:lang w:val="es-ES_tradnl"/>
      </w:rPr>
      <w:t xml:space="preserve"> de </w:t>
    </w:r>
    <w:r w:rsidRPr="00EA2921">
      <w:rPr>
        <w:rFonts w:ascii="Georgia" w:hAnsi="Georgia"/>
        <w:i/>
        <w:sz w:val="20"/>
        <w:szCs w:val="20"/>
        <w:lang w:val="es-ES_tradnl"/>
      </w:rPr>
      <w:fldChar w:fldCharType="begin"/>
    </w:r>
    <w:r w:rsidRPr="00EA2921">
      <w:rPr>
        <w:rFonts w:ascii="Georgia" w:hAnsi="Georgia"/>
        <w:i/>
        <w:sz w:val="20"/>
        <w:szCs w:val="20"/>
        <w:lang w:val="es-ES_tradnl"/>
      </w:rPr>
      <w:instrText xml:space="preserve"> NUMPAGES </w:instrText>
    </w:r>
    <w:r w:rsidRPr="00EA2921">
      <w:rPr>
        <w:rFonts w:ascii="Georgia" w:hAnsi="Georgia"/>
        <w:i/>
        <w:sz w:val="20"/>
        <w:szCs w:val="20"/>
        <w:lang w:val="es-ES_tradnl"/>
      </w:rPr>
      <w:fldChar w:fldCharType="separate"/>
    </w:r>
    <w:r w:rsidR="00E419BD" w:rsidRPr="00EA2921">
      <w:rPr>
        <w:rFonts w:ascii="Georgia" w:hAnsi="Georgia"/>
        <w:i/>
        <w:noProof/>
        <w:sz w:val="20"/>
        <w:szCs w:val="20"/>
        <w:lang w:val="es-ES_tradnl"/>
      </w:rPr>
      <w:t>1</w:t>
    </w:r>
    <w:r w:rsidRPr="00EA2921">
      <w:rPr>
        <w:rFonts w:ascii="Georgia" w:hAnsi="Georgia"/>
        <w:i/>
        <w:sz w:val="20"/>
        <w:szCs w:val="20"/>
        <w:lang w:val="es-ES_tradnl"/>
      </w:rPr>
      <w:fldChar w:fldCharType="end"/>
    </w:r>
  </w:p>
  <w:p w14:paraId="24F4BCCA" w14:textId="77777777" w:rsidR="00B33435" w:rsidRPr="00935338" w:rsidRDefault="00B33435">
    <w:pPr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ECE" w14:textId="77777777" w:rsidR="00B51DF2" w:rsidRDefault="00B51DF2" w:rsidP="00B51DF2">
    <w:pPr>
      <w:pStyle w:val="Header"/>
      <w:rPr>
        <w:sz w:val="28"/>
        <w:szCs w:val="28"/>
        <w:lang w:val="es-ES"/>
      </w:rPr>
    </w:pPr>
  </w:p>
  <w:p w14:paraId="7C74AC00" w14:textId="6EB7A7C8" w:rsidR="00B21B38" w:rsidRPr="00B51DF2" w:rsidRDefault="00B21B38" w:rsidP="00B51DF2">
    <w:pPr>
      <w:pStyle w:val="Header"/>
      <w:rPr>
        <w:sz w:val="28"/>
        <w:szCs w:val="28"/>
        <w:lang w:val="es-ES"/>
      </w:rPr>
    </w:pPr>
    <w:r>
      <w:fldChar w:fldCharType="begin"/>
    </w:r>
    <w:r w:rsidRPr="00B21B38">
      <w:rPr>
        <w:lang w:val="es-ES"/>
      </w:rPr>
      <w:instrText xml:space="preserve"> USERADDRESS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87D75"/>
    <w:multiLevelType w:val="multilevel"/>
    <w:tmpl w:val="723A74EE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516B3"/>
    <w:multiLevelType w:val="multilevel"/>
    <w:tmpl w:val="210C204C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47E54"/>
    <w:multiLevelType w:val="multilevel"/>
    <w:tmpl w:val="7CE2554E"/>
    <w:lvl w:ilvl="0">
      <w:start w:val="7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8"/>
        <w:w w:val="100"/>
        <w:sz w:val="27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CD4E4E"/>
    <w:multiLevelType w:val="hybridMultilevel"/>
    <w:tmpl w:val="A8648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AF1F59"/>
    <w:multiLevelType w:val="multilevel"/>
    <w:tmpl w:val="723A74EE"/>
    <w:lvl w:ilvl="0">
      <w:start w:val="1"/>
      <w:numFmt w:val="lowerLetter"/>
      <w:lvlText w:val="%1."/>
      <w:lvlJc w:val="left"/>
      <w:pPr>
        <w:tabs>
          <w:tab w:val="left" w:pos="-360"/>
        </w:tabs>
        <w:ind w:left="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862FA2"/>
    <w:multiLevelType w:val="hybridMultilevel"/>
    <w:tmpl w:val="7B8E9B56"/>
    <w:lvl w:ilvl="0" w:tplc="F7C84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720F82"/>
    <w:multiLevelType w:val="hybridMultilevel"/>
    <w:tmpl w:val="59A6A9A8"/>
    <w:lvl w:ilvl="0" w:tplc="3802F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464326"/>
    <w:multiLevelType w:val="multilevel"/>
    <w:tmpl w:val="37680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220B6"/>
    <w:multiLevelType w:val="hybridMultilevel"/>
    <w:tmpl w:val="37680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B0"/>
    <w:rsid w:val="000013E2"/>
    <w:rsid w:val="00006D75"/>
    <w:rsid w:val="00012CB9"/>
    <w:rsid w:val="000218A1"/>
    <w:rsid w:val="0002351B"/>
    <w:rsid w:val="000267AE"/>
    <w:rsid w:val="00030E61"/>
    <w:rsid w:val="000369AE"/>
    <w:rsid w:val="00043AB8"/>
    <w:rsid w:val="00045B93"/>
    <w:rsid w:val="00070E2B"/>
    <w:rsid w:val="00083706"/>
    <w:rsid w:val="00087920"/>
    <w:rsid w:val="00090424"/>
    <w:rsid w:val="000B53FD"/>
    <w:rsid w:val="000C7A44"/>
    <w:rsid w:val="000E47DA"/>
    <w:rsid w:val="000F513E"/>
    <w:rsid w:val="000F7D8E"/>
    <w:rsid w:val="00106AD4"/>
    <w:rsid w:val="001132FC"/>
    <w:rsid w:val="001260B7"/>
    <w:rsid w:val="001325D6"/>
    <w:rsid w:val="00147497"/>
    <w:rsid w:val="0016016A"/>
    <w:rsid w:val="00160FCE"/>
    <w:rsid w:val="001751BC"/>
    <w:rsid w:val="00177938"/>
    <w:rsid w:val="0018016D"/>
    <w:rsid w:val="00185F30"/>
    <w:rsid w:val="00186B87"/>
    <w:rsid w:val="00193A00"/>
    <w:rsid w:val="00195522"/>
    <w:rsid w:val="001B0A32"/>
    <w:rsid w:val="001B5ECB"/>
    <w:rsid w:val="001C414E"/>
    <w:rsid w:val="001D2AB6"/>
    <w:rsid w:val="001E6B17"/>
    <w:rsid w:val="001E7DF8"/>
    <w:rsid w:val="00211C56"/>
    <w:rsid w:val="00214675"/>
    <w:rsid w:val="0022244C"/>
    <w:rsid w:val="00230650"/>
    <w:rsid w:val="002330A9"/>
    <w:rsid w:val="0023685A"/>
    <w:rsid w:val="00241230"/>
    <w:rsid w:val="0024133D"/>
    <w:rsid w:val="0024571E"/>
    <w:rsid w:val="00260134"/>
    <w:rsid w:val="002759FC"/>
    <w:rsid w:val="00275FBB"/>
    <w:rsid w:val="002876A9"/>
    <w:rsid w:val="00290C09"/>
    <w:rsid w:val="002B675D"/>
    <w:rsid w:val="002C46BA"/>
    <w:rsid w:val="002C4939"/>
    <w:rsid w:val="002C748C"/>
    <w:rsid w:val="002D17A8"/>
    <w:rsid w:val="002E173A"/>
    <w:rsid w:val="002E37DD"/>
    <w:rsid w:val="002F5BC4"/>
    <w:rsid w:val="00306709"/>
    <w:rsid w:val="00310BAA"/>
    <w:rsid w:val="003137F4"/>
    <w:rsid w:val="00325AD1"/>
    <w:rsid w:val="00332855"/>
    <w:rsid w:val="00332BB0"/>
    <w:rsid w:val="003427BA"/>
    <w:rsid w:val="00347F5C"/>
    <w:rsid w:val="00360662"/>
    <w:rsid w:val="003616C5"/>
    <w:rsid w:val="00366CCB"/>
    <w:rsid w:val="00382C63"/>
    <w:rsid w:val="00386593"/>
    <w:rsid w:val="003941AF"/>
    <w:rsid w:val="003A24B7"/>
    <w:rsid w:val="003B592E"/>
    <w:rsid w:val="003D40C3"/>
    <w:rsid w:val="003D4A9A"/>
    <w:rsid w:val="003D522A"/>
    <w:rsid w:val="003E35D8"/>
    <w:rsid w:val="003F183D"/>
    <w:rsid w:val="00400891"/>
    <w:rsid w:val="004015A4"/>
    <w:rsid w:val="00412B84"/>
    <w:rsid w:val="0043174A"/>
    <w:rsid w:val="004347CE"/>
    <w:rsid w:val="004373FC"/>
    <w:rsid w:val="004606FA"/>
    <w:rsid w:val="004647FD"/>
    <w:rsid w:val="00476CE0"/>
    <w:rsid w:val="004903F5"/>
    <w:rsid w:val="0049729A"/>
    <w:rsid w:val="004A2BAB"/>
    <w:rsid w:val="004A65A4"/>
    <w:rsid w:val="004C2887"/>
    <w:rsid w:val="004E177B"/>
    <w:rsid w:val="004F07B4"/>
    <w:rsid w:val="004F2BAC"/>
    <w:rsid w:val="004F59D1"/>
    <w:rsid w:val="00502F9B"/>
    <w:rsid w:val="00506AA9"/>
    <w:rsid w:val="00510C45"/>
    <w:rsid w:val="005357FA"/>
    <w:rsid w:val="0053581B"/>
    <w:rsid w:val="005452FB"/>
    <w:rsid w:val="00553991"/>
    <w:rsid w:val="00553F17"/>
    <w:rsid w:val="00562350"/>
    <w:rsid w:val="0058079B"/>
    <w:rsid w:val="00580E42"/>
    <w:rsid w:val="00585865"/>
    <w:rsid w:val="00591FCE"/>
    <w:rsid w:val="005A1A92"/>
    <w:rsid w:val="005A3D13"/>
    <w:rsid w:val="005B2585"/>
    <w:rsid w:val="005C279A"/>
    <w:rsid w:val="005C778F"/>
    <w:rsid w:val="005D0C46"/>
    <w:rsid w:val="005E71C8"/>
    <w:rsid w:val="005F4C9A"/>
    <w:rsid w:val="005F58AC"/>
    <w:rsid w:val="00601DFF"/>
    <w:rsid w:val="006374C3"/>
    <w:rsid w:val="006459C7"/>
    <w:rsid w:val="00651742"/>
    <w:rsid w:val="006841B8"/>
    <w:rsid w:val="006856D2"/>
    <w:rsid w:val="00686C99"/>
    <w:rsid w:val="0069625F"/>
    <w:rsid w:val="006A5AAD"/>
    <w:rsid w:val="006A7BB4"/>
    <w:rsid w:val="006C180C"/>
    <w:rsid w:val="006E2E45"/>
    <w:rsid w:val="006F70AC"/>
    <w:rsid w:val="00715839"/>
    <w:rsid w:val="00725254"/>
    <w:rsid w:val="00737BB5"/>
    <w:rsid w:val="007417A0"/>
    <w:rsid w:val="00741C23"/>
    <w:rsid w:val="00750FEB"/>
    <w:rsid w:val="00771918"/>
    <w:rsid w:val="00773ED0"/>
    <w:rsid w:val="007A639C"/>
    <w:rsid w:val="007A75B6"/>
    <w:rsid w:val="007C73A9"/>
    <w:rsid w:val="007C7C4B"/>
    <w:rsid w:val="007D6787"/>
    <w:rsid w:val="007E23D0"/>
    <w:rsid w:val="007E4C30"/>
    <w:rsid w:val="007F7D73"/>
    <w:rsid w:val="00825D15"/>
    <w:rsid w:val="008304ED"/>
    <w:rsid w:val="00831B9F"/>
    <w:rsid w:val="008323CD"/>
    <w:rsid w:val="0083687C"/>
    <w:rsid w:val="00844A13"/>
    <w:rsid w:val="008474CC"/>
    <w:rsid w:val="00860C4D"/>
    <w:rsid w:val="00862632"/>
    <w:rsid w:val="00866F9C"/>
    <w:rsid w:val="0087122A"/>
    <w:rsid w:val="008719B8"/>
    <w:rsid w:val="00875652"/>
    <w:rsid w:val="00876DF3"/>
    <w:rsid w:val="00880E3E"/>
    <w:rsid w:val="008838FC"/>
    <w:rsid w:val="0089258D"/>
    <w:rsid w:val="008C5A47"/>
    <w:rsid w:val="00907071"/>
    <w:rsid w:val="0091322F"/>
    <w:rsid w:val="00935338"/>
    <w:rsid w:val="0094476C"/>
    <w:rsid w:val="0094476F"/>
    <w:rsid w:val="0095513B"/>
    <w:rsid w:val="0095739A"/>
    <w:rsid w:val="0096665F"/>
    <w:rsid w:val="00966E6C"/>
    <w:rsid w:val="009726BE"/>
    <w:rsid w:val="009A4F13"/>
    <w:rsid w:val="009B1AEE"/>
    <w:rsid w:val="009B6F77"/>
    <w:rsid w:val="009C0E69"/>
    <w:rsid w:val="009C2CF3"/>
    <w:rsid w:val="009C548D"/>
    <w:rsid w:val="009D6084"/>
    <w:rsid w:val="009D7032"/>
    <w:rsid w:val="009E66A5"/>
    <w:rsid w:val="009E7AFD"/>
    <w:rsid w:val="00A05CAA"/>
    <w:rsid w:val="00A17A7F"/>
    <w:rsid w:val="00A25E7D"/>
    <w:rsid w:val="00A33B83"/>
    <w:rsid w:val="00A36044"/>
    <w:rsid w:val="00A406C5"/>
    <w:rsid w:val="00A56166"/>
    <w:rsid w:val="00A61EBD"/>
    <w:rsid w:val="00A701B8"/>
    <w:rsid w:val="00A906EF"/>
    <w:rsid w:val="00AA4198"/>
    <w:rsid w:val="00AB3400"/>
    <w:rsid w:val="00AB4F02"/>
    <w:rsid w:val="00AC551C"/>
    <w:rsid w:val="00AD1FFE"/>
    <w:rsid w:val="00AD21D2"/>
    <w:rsid w:val="00B0042F"/>
    <w:rsid w:val="00B0278E"/>
    <w:rsid w:val="00B14828"/>
    <w:rsid w:val="00B21B38"/>
    <w:rsid w:val="00B33435"/>
    <w:rsid w:val="00B446F7"/>
    <w:rsid w:val="00B51DF2"/>
    <w:rsid w:val="00B56F04"/>
    <w:rsid w:val="00B73CCC"/>
    <w:rsid w:val="00B83331"/>
    <w:rsid w:val="00B87770"/>
    <w:rsid w:val="00BA4AD3"/>
    <w:rsid w:val="00BA615B"/>
    <w:rsid w:val="00BB38F8"/>
    <w:rsid w:val="00BC5451"/>
    <w:rsid w:val="00BE513D"/>
    <w:rsid w:val="00BF0F6B"/>
    <w:rsid w:val="00BF77B5"/>
    <w:rsid w:val="00C0174A"/>
    <w:rsid w:val="00C03F69"/>
    <w:rsid w:val="00C063FC"/>
    <w:rsid w:val="00C14247"/>
    <w:rsid w:val="00C2019E"/>
    <w:rsid w:val="00C24945"/>
    <w:rsid w:val="00C3297A"/>
    <w:rsid w:val="00C41459"/>
    <w:rsid w:val="00C41931"/>
    <w:rsid w:val="00C4195E"/>
    <w:rsid w:val="00C525AB"/>
    <w:rsid w:val="00C62DCF"/>
    <w:rsid w:val="00C7387C"/>
    <w:rsid w:val="00C76B7C"/>
    <w:rsid w:val="00C81A98"/>
    <w:rsid w:val="00C91537"/>
    <w:rsid w:val="00C919C1"/>
    <w:rsid w:val="00CB005B"/>
    <w:rsid w:val="00CB1729"/>
    <w:rsid w:val="00CC1384"/>
    <w:rsid w:val="00CC59C7"/>
    <w:rsid w:val="00D05226"/>
    <w:rsid w:val="00D073DC"/>
    <w:rsid w:val="00D1766F"/>
    <w:rsid w:val="00D21459"/>
    <w:rsid w:val="00D22DDF"/>
    <w:rsid w:val="00D2430D"/>
    <w:rsid w:val="00D3359A"/>
    <w:rsid w:val="00D3390E"/>
    <w:rsid w:val="00D41028"/>
    <w:rsid w:val="00D45D09"/>
    <w:rsid w:val="00D46DFA"/>
    <w:rsid w:val="00D57655"/>
    <w:rsid w:val="00D6530F"/>
    <w:rsid w:val="00D752AC"/>
    <w:rsid w:val="00D907A9"/>
    <w:rsid w:val="00D95A40"/>
    <w:rsid w:val="00D96000"/>
    <w:rsid w:val="00D97CF1"/>
    <w:rsid w:val="00DA0301"/>
    <w:rsid w:val="00DD6294"/>
    <w:rsid w:val="00DD6BA9"/>
    <w:rsid w:val="00DD6F69"/>
    <w:rsid w:val="00DE30C7"/>
    <w:rsid w:val="00DF40D4"/>
    <w:rsid w:val="00E21CA0"/>
    <w:rsid w:val="00E2247C"/>
    <w:rsid w:val="00E325D5"/>
    <w:rsid w:val="00E419BD"/>
    <w:rsid w:val="00E44C92"/>
    <w:rsid w:val="00E4643A"/>
    <w:rsid w:val="00E61ABE"/>
    <w:rsid w:val="00E66FCE"/>
    <w:rsid w:val="00E7299B"/>
    <w:rsid w:val="00E87A06"/>
    <w:rsid w:val="00E87AC3"/>
    <w:rsid w:val="00E92464"/>
    <w:rsid w:val="00E96235"/>
    <w:rsid w:val="00E971F4"/>
    <w:rsid w:val="00EA2921"/>
    <w:rsid w:val="00EA6814"/>
    <w:rsid w:val="00EB5A37"/>
    <w:rsid w:val="00ED0332"/>
    <w:rsid w:val="00EE6218"/>
    <w:rsid w:val="00EF60BE"/>
    <w:rsid w:val="00F00BB8"/>
    <w:rsid w:val="00F22086"/>
    <w:rsid w:val="00F32CCB"/>
    <w:rsid w:val="00F32DC9"/>
    <w:rsid w:val="00F54545"/>
    <w:rsid w:val="00F6123C"/>
    <w:rsid w:val="00F622FA"/>
    <w:rsid w:val="00F64073"/>
    <w:rsid w:val="00F673DE"/>
    <w:rsid w:val="00F73E2E"/>
    <w:rsid w:val="00F7611C"/>
    <w:rsid w:val="00F903FC"/>
    <w:rsid w:val="00F95155"/>
    <w:rsid w:val="00FA1A26"/>
    <w:rsid w:val="00FA4890"/>
    <w:rsid w:val="00FB4ED7"/>
    <w:rsid w:val="00FD7679"/>
    <w:rsid w:val="00FE072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A2570"/>
  <w15:docId w15:val="{6786CE4B-A494-8745-BD5D-100794B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59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59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5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59A"/>
  </w:style>
  <w:style w:type="paragraph" w:styleId="Footer">
    <w:name w:val="footer"/>
    <w:basedOn w:val="Normal"/>
    <w:link w:val="FooterChar"/>
    <w:uiPriority w:val="99"/>
    <w:unhideWhenUsed/>
    <w:rsid w:val="00D335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59A"/>
  </w:style>
  <w:style w:type="table" w:styleId="TableGrid">
    <w:name w:val="Table Grid"/>
    <w:basedOn w:val="TableNormal"/>
    <w:uiPriority w:val="59"/>
    <w:rsid w:val="00D3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5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A2921"/>
    <w:pPr>
      <w:spacing w:before="120"/>
      <w:jc w:val="both"/>
    </w:pPr>
    <w:rPr>
      <w:rFonts w:ascii="Georgia" w:hAnsi="Georgia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2921"/>
    <w:rPr>
      <w:rFonts w:ascii="Georgia" w:hAnsi="Georgia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D2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DA2049-D0F2-194F-A16F-5465DD1E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1884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Rosado-Alfonso Law Office, PSC</Company>
  <LinksUpToDate>false</LinksUpToDate>
  <CharactersWithSpaces>2211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This content is licensed under a Creative Commons Attribution-NonCommercial-ShareAlike 4.0 International license. Usted acepta que la concesión de esta licencia no crea una relación abogado-cliente con Rosado-Alfonso Law Office, PSC ni ninguno de sus abogados. El uso, modificación o adaptación de este modelo es bajo su exclusiva responsabilidad.</dc:description>
  <cp:lastModifiedBy>Ivan Rosado-Alfonso</cp:lastModifiedBy>
  <cp:revision>3</cp:revision>
  <cp:lastPrinted>2020-04-17T17:44:00Z</cp:lastPrinted>
  <dcterms:created xsi:type="dcterms:W3CDTF">2020-04-17T18:38:00Z</dcterms:created>
  <dcterms:modified xsi:type="dcterms:W3CDTF">2020-04-17T20:58:00Z</dcterms:modified>
  <cp:category/>
</cp:coreProperties>
</file>